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方正黑体_GBK" w:eastAsia="方正黑体_GBK" w:cs="方正黑体_GBK"/>
          <w:sz w:val="32"/>
          <w:szCs w:val="32"/>
          <w:woUserID w:val="1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woUserID w:val="1"/>
        </w:rPr>
        <w:t>附件4</w:t>
      </w:r>
    </w:p>
    <w:tbl>
      <w:tblPr>
        <w:tblStyle w:val="11"/>
        <w:tblW w:w="86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4967"/>
        <w:gridCol w:w="638"/>
        <w:gridCol w:w="7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基层团委（总支）考核量化表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时间：2021-2022学年度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考核项目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考核内容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分值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分数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宣传思想工作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（1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分）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highlight w:val="yellow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开展理论精神学习，宣传贯彻党的最新思想理论，深化培育和践行社会主义核心价值观，并建立本学院新媒体平台，定期发布相关信息，做好重大节日宣传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持续推进院级“青马工程”制度化和常态化发展，</w:t>
            </w:r>
            <w:r>
              <w:rPr>
                <w:rFonts w:hint="eastAsia" w:ascii="宋体" w:hAnsi="宋体" w:cs="宋体"/>
                <w:kern w:val="0"/>
                <w:szCs w:val="21"/>
                <w:woUserID w:val="1"/>
              </w:rPr>
              <w:t>扎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实做好思想建设工作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组织建设工作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（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0分）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各学院党总支重视共青团工作，能够为共青团工作提供充足保障；积极完成校团委的各项工作任务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组织按期换届，人员配置合理规范；制度建设规范，三会两制一课开展较好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智慧团建平台团员报到情况（报到率=100%得5分，≠100%不得分；每少1%倒扣1分，5分为上限。）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智慧团建平台业务响应率（响应率≥90%得5分，80%-90%得4分，75%-80%得3分，70%-75%得2分；若＜70%，每少1%倒扣一分，5分为上限。）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智慧团建平台团费收缴情况（未缴比率&lt;3%得5分，3%-5%得4分，5%-8%得3分，8%-10%得2分；若＞10%，每多1%倒扣1分，5分为上限。）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青年大学习完成率情况（每期完成率≥90%得1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分，80%-90%得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分，70%-80%得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，60%-70%得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，若&lt;60%，每少5%倒扣1分，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  <w:t>10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党史学习教育录入率情况（录入率≥90%得5分，80%-90%得4分，75%-80%得3分，70%-75%得2分；若＜70%，每少5%倒扣一分，5分为上限。）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团员年度评议完成率（评议完成率=100%得5分，每少5%倒扣1分，5分为上限）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开展团日活动情况（“活力在基层”主题团日竞赛活动申报率≥90%得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分，80%-90%得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分，70%-80%得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分，60%-70%不得分，若&lt;60%，每少1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%倒扣1分，5分为上限。）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获省级“活力在基层”主题团日竞赛活动百优项目得5分，千入围得3分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能够按照相关规定组建网络文明志愿者，定时定量发布共青团的动态，学院关注“青年之声”人数达90%以上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学生素质提升工作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（1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分）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积极参加校园科技学术节、文化艺术节、阳光体育节等系列活动，根据本学院专业特点开展专题活动, 根据不同主题要求自主开展具有教育意义的文化品牌活动，活动有计划、有实施细则、有总结、有影像材料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积极参加“挑战杯”，获得省级奖项得5分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积极参加“攀登计划”，获得省级立项得5分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社会实践志愿服务工作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（15分）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按照暑假“三下乡”社会实践活动方案规范完成工作，且效果较好，获省级团队或个人奖项得5分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完成社会实践学分认证手册的核对和认证工作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定期开展志愿活动，建立大学生社会实践（服务）基地；广泛发动同学参加“展翅计划”活动，较好的完成岗位对接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woUserID w:val="1"/>
              </w:rPr>
              <w:t>总分</w:t>
            </w:r>
          </w:p>
        </w:tc>
        <w:tc>
          <w:tcPr>
            <w:tcW w:w="6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  <w:woUserID w:val="1"/>
              </w:rPr>
            </w:pPr>
          </w:p>
        </w:tc>
      </w:tr>
    </w:tbl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5FF48C7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WWO_wpscloud_20220317202110-949c1bec79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2022-03-20T13:19:10Z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