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5B" w:rsidRPr="00682E50" w:rsidRDefault="00FE4E5B" w:rsidP="00FE4E5B">
      <w:pPr>
        <w:spacing w:line="440" w:lineRule="exact"/>
        <w:ind w:leftChars="-472" w:hangingChars="413" w:hanging="991"/>
        <w:rPr>
          <w:rFonts w:ascii="宋体" w:hAnsi="宋体" w:hint="eastAsia"/>
          <w:bCs/>
          <w:sz w:val="24"/>
          <w:szCs w:val="24"/>
        </w:rPr>
      </w:pPr>
      <w:r w:rsidRPr="00682E50">
        <w:rPr>
          <w:rFonts w:ascii="宋体" w:hAnsi="宋体" w:hint="eastAsia"/>
          <w:bCs/>
          <w:sz w:val="24"/>
          <w:szCs w:val="24"/>
        </w:rPr>
        <w:t>附件：</w:t>
      </w:r>
    </w:p>
    <w:p w:rsidR="00FE4E5B" w:rsidRPr="00380526" w:rsidRDefault="00FE4E5B" w:rsidP="00FE4E5B">
      <w:pPr>
        <w:spacing w:line="440" w:lineRule="exact"/>
        <w:ind w:firstLineChars="200" w:firstLine="643"/>
        <w:rPr>
          <w:rFonts w:ascii="宋体" w:hAnsi="宋体" w:hint="eastAsia"/>
          <w:b/>
          <w:bCs/>
          <w:sz w:val="32"/>
          <w:szCs w:val="24"/>
        </w:rPr>
      </w:pPr>
      <w:r w:rsidRPr="00682E50">
        <w:rPr>
          <w:rFonts w:ascii="宋体" w:hAnsi="宋体" w:hint="eastAsia"/>
          <w:b/>
          <w:bCs/>
          <w:sz w:val="32"/>
          <w:szCs w:val="24"/>
        </w:rPr>
        <w:t>201</w:t>
      </w:r>
      <w:r>
        <w:rPr>
          <w:rFonts w:ascii="宋体" w:hAnsi="宋体"/>
          <w:b/>
          <w:bCs/>
          <w:sz w:val="32"/>
          <w:szCs w:val="24"/>
        </w:rPr>
        <w:t>6</w:t>
      </w:r>
      <w:r w:rsidRPr="00682E50">
        <w:rPr>
          <w:rFonts w:ascii="宋体" w:hAnsi="宋体" w:hint="eastAsia"/>
          <w:b/>
          <w:bCs/>
          <w:sz w:val="32"/>
          <w:szCs w:val="24"/>
        </w:rPr>
        <w:t>年度校级质量工程建设项目阶段检查情况一览表</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114"/>
        <w:gridCol w:w="4424"/>
        <w:gridCol w:w="992"/>
        <w:gridCol w:w="1639"/>
        <w:gridCol w:w="1191"/>
      </w:tblGrid>
      <w:tr w:rsidR="00FE4E5B" w:rsidRPr="00B527BF" w:rsidTr="0056567C">
        <w:tblPrEx>
          <w:tblCellMar>
            <w:top w:w="0" w:type="dxa"/>
            <w:bottom w:w="0" w:type="dxa"/>
          </w:tblCellMar>
        </w:tblPrEx>
        <w:trPr>
          <w:trHeight w:val="624"/>
          <w:tblHeader/>
          <w:jc w:val="center"/>
        </w:trPr>
        <w:tc>
          <w:tcPr>
            <w:tcW w:w="546" w:type="dxa"/>
            <w:vAlign w:val="center"/>
          </w:tcPr>
          <w:p w:rsidR="00FE4E5B" w:rsidRPr="00B527BF" w:rsidRDefault="00FE4E5B" w:rsidP="0056567C">
            <w:pPr>
              <w:spacing w:line="440" w:lineRule="exact"/>
              <w:jc w:val="center"/>
              <w:rPr>
                <w:rFonts w:ascii="宋体" w:hAnsi="宋体" w:hint="eastAsia"/>
                <w:b/>
                <w:color w:val="000000"/>
                <w:sz w:val="22"/>
              </w:rPr>
            </w:pPr>
            <w:r w:rsidRPr="00B527BF">
              <w:rPr>
                <w:rFonts w:ascii="宋体" w:hAnsi="宋体" w:hint="eastAsia"/>
                <w:b/>
                <w:color w:val="000000"/>
                <w:sz w:val="22"/>
              </w:rPr>
              <w:t>序</w:t>
            </w:r>
          </w:p>
        </w:tc>
        <w:tc>
          <w:tcPr>
            <w:tcW w:w="2114" w:type="dxa"/>
            <w:vAlign w:val="center"/>
          </w:tcPr>
          <w:p w:rsidR="00FE4E5B" w:rsidRPr="00B527BF" w:rsidRDefault="00FE4E5B" w:rsidP="0056567C">
            <w:pPr>
              <w:spacing w:line="440" w:lineRule="exact"/>
              <w:jc w:val="center"/>
              <w:rPr>
                <w:rFonts w:ascii="宋体" w:hAnsi="宋体" w:hint="eastAsia"/>
                <w:b/>
                <w:color w:val="000000"/>
                <w:sz w:val="22"/>
              </w:rPr>
            </w:pPr>
            <w:r w:rsidRPr="00B527BF">
              <w:rPr>
                <w:rFonts w:ascii="宋体" w:hAnsi="宋体" w:hint="eastAsia"/>
                <w:b/>
                <w:color w:val="000000"/>
                <w:sz w:val="22"/>
              </w:rPr>
              <w:t>项目类别</w:t>
            </w:r>
          </w:p>
        </w:tc>
        <w:tc>
          <w:tcPr>
            <w:tcW w:w="4424" w:type="dxa"/>
            <w:vAlign w:val="center"/>
          </w:tcPr>
          <w:p w:rsidR="00FE4E5B" w:rsidRPr="00B527BF" w:rsidRDefault="00FE4E5B" w:rsidP="0056567C">
            <w:pPr>
              <w:spacing w:line="440" w:lineRule="exact"/>
              <w:jc w:val="center"/>
              <w:rPr>
                <w:rFonts w:ascii="宋体" w:hAnsi="宋体" w:hint="eastAsia"/>
                <w:b/>
                <w:color w:val="000000"/>
                <w:sz w:val="22"/>
              </w:rPr>
            </w:pPr>
            <w:r w:rsidRPr="00B527BF">
              <w:rPr>
                <w:rFonts w:ascii="宋体" w:hAnsi="宋体" w:hint="eastAsia"/>
                <w:b/>
                <w:color w:val="000000"/>
                <w:sz w:val="22"/>
              </w:rPr>
              <w:t>项目名称</w:t>
            </w:r>
          </w:p>
        </w:tc>
        <w:tc>
          <w:tcPr>
            <w:tcW w:w="992" w:type="dxa"/>
            <w:vAlign w:val="center"/>
          </w:tcPr>
          <w:p w:rsidR="00FE4E5B" w:rsidRPr="00B527BF" w:rsidRDefault="00FE4E5B" w:rsidP="0056567C">
            <w:pPr>
              <w:spacing w:line="440" w:lineRule="exact"/>
              <w:jc w:val="center"/>
              <w:rPr>
                <w:rFonts w:ascii="宋体" w:hAnsi="宋体" w:hint="eastAsia"/>
                <w:b/>
                <w:color w:val="000000"/>
                <w:sz w:val="22"/>
              </w:rPr>
            </w:pPr>
            <w:r w:rsidRPr="00B527BF">
              <w:rPr>
                <w:rFonts w:ascii="宋体" w:hAnsi="宋体" w:hint="eastAsia"/>
                <w:b/>
                <w:color w:val="000000"/>
                <w:sz w:val="22"/>
              </w:rPr>
              <w:t>项目</w:t>
            </w:r>
          </w:p>
          <w:p w:rsidR="00FE4E5B" w:rsidRPr="00B527BF" w:rsidRDefault="00FE4E5B" w:rsidP="0056567C">
            <w:pPr>
              <w:jc w:val="center"/>
              <w:rPr>
                <w:rFonts w:ascii="宋体" w:hAnsi="宋体" w:hint="eastAsia"/>
                <w:b/>
                <w:color w:val="000000"/>
                <w:sz w:val="22"/>
              </w:rPr>
            </w:pPr>
            <w:r w:rsidRPr="00B527BF">
              <w:rPr>
                <w:rFonts w:ascii="宋体" w:hAnsi="宋体" w:hint="eastAsia"/>
                <w:b/>
                <w:color w:val="000000"/>
                <w:sz w:val="22"/>
              </w:rPr>
              <w:t>负责人</w:t>
            </w:r>
          </w:p>
        </w:tc>
        <w:tc>
          <w:tcPr>
            <w:tcW w:w="1639" w:type="dxa"/>
            <w:vAlign w:val="center"/>
          </w:tcPr>
          <w:p w:rsidR="00FE4E5B" w:rsidRPr="00B527BF" w:rsidRDefault="00FE4E5B" w:rsidP="0056567C">
            <w:pPr>
              <w:spacing w:line="440" w:lineRule="exact"/>
              <w:jc w:val="center"/>
              <w:rPr>
                <w:rFonts w:ascii="宋体" w:hAnsi="宋体" w:hint="eastAsia"/>
                <w:b/>
                <w:color w:val="000000"/>
                <w:sz w:val="22"/>
              </w:rPr>
            </w:pPr>
            <w:r w:rsidRPr="00B527BF">
              <w:rPr>
                <w:rFonts w:ascii="宋体" w:hAnsi="宋体" w:hint="eastAsia"/>
                <w:b/>
                <w:color w:val="000000"/>
                <w:sz w:val="22"/>
              </w:rPr>
              <w:t>所在单位</w:t>
            </w:r>
          </w:p>
        </w:tc>
        <w:tc>
          <w:tcPr>
            <w:tcW w:w="1191" w:type="dxa"/>
            <w:vAlign w:val="center"/>
          </w:tcPr>
          <w:p w:rsidR="00FE4E5B" w:rsidRPr="00B527BF" w:rsidRDefault="00FE4E5B" w:rsidP="0056567C">
            <w:pPr>
              <w:spacing w:line="440" w:lineRule="exact"/>
              <w:jc w:val="center"/>
              <w:rPr>
                <w:rFonts w:ascii="宋体" w:hAnsi="宋体" w:hint="eastAsia"/>
                <w:b/>
                <w:color w:val="000000"/>
                <w:sz w:val="22"/>
              </w:rPr>
            </w:pPr>
            <w:r>
              <w:rPr>
                <w:rFonts w:ascii="宋体" w:hAnsi="宋体" w:hint="eastAsia"/>
                <w:b/>
                <w:color w:val="000000"/>
                <w:sz w:val="22"/>
              </w:rPr>
              <w:t>检查结果</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1</w:t>
            </w:r>
          </w:p>
        </w:tc>
        <w:tc>
          <w:tcPr>
            <w:tcW w:w="2114" w:type="dxa"/>
            <w:vAlign w:val="center"/>
          </w:tcPr>
          <w:p w:rsidR="00FE4E5B" w:rsidRPr="00B527BF" w:rsidRDefault="00FE4E5B" w:rsidP="0056567C">
            <w:pPr>
              <w:spacing w:line="440" w:lineRule="exact"/>
              <w:jc w:val="center"/>
              <w:rPr>
                <w:rFonts w:ascii="宋体" w:hAnsi="宋体" w:hint="eastAsia"/>
                <w:sz w:val="22"/>
              </w:rPr>
            </w:pPr>
            <w:r w:rsidRPr="00B527BF">
              <w:rPr>
                <w:rFonts w:ascii="宋体" w:hAnsi="宋体" w:hint="eastAsia"/>
                <w:sz w:val="22"/>
              </w:rPr>
              <w:t>教学团队</w:t>
            </w:r>
          </w:p>
        </w:tc>
        <w:tc>
          <w:tcPr>
            <w:tcW w:w="4424" w:type="dxa"/>
            <w:vAlign w:val="center"/>
          </w:tcPr>
          <w:p w:rsidR="00FE4E5B" w:rsidRPr="00B527BF" w:rsidRDefault="00FE4E5B" w:rsidP="0056567C">
            <w:pPr>
              <w:widowControl/>
              <w:jc w:val="center"/>
              <w:rPr>
                <w:rFonts w:ascii="宋体" w:hAnsi="宋体"/>
                <w:kern w:val="0"/>
                <w:sz w:val="22"/>
              </w:rPr>
            </w:pPr>
            <w:r w:rsidRPr="00B527BF">
              <w:rPr>
                <w:rFonts w:ascii="宋体" w:hAnsi="宋体" w:hint="eastAsia"/>
                <w:sz w:val="22"/>
              </w:rPr>
              <w:t>翻译（英语）专业教学团队</w:t>
            </w:r>
          </w:p>
        </w:tc>
        <w:tc>
          <w:tcPr>
            <w:tcW w:w="992" w:type="dxa"/>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余东</w:t>
            </w:r>
          </w:p>
        </w:tc>
        <w:tc>
          <w:tcPr>
            <w:tcW w:w="1639" w:type="dxa"/>
            <w:vMerge w:val="restart"/>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英语语言文化学院</w:t>
            </w:r>
          </w:p>
        </w:tc>
        <w:tc>
          <w:tcPr>
            <w:tcW w:w="1191" w:type="dxa"/>
            <w:vAlign w:val="center"/>
          </w:tcPr>
          <w:p w:rsidR="00FE4E5B" w:rsidRPr="00B527BF" w:rsidRDefault="00FE4E5B" w:rsidP="0056567C">
            <w:pPr>
              <w:jc w:val="center"/>
              <w:rPr>
                <w:rFonts w:ascii="宋体" w:hAnsi="宋体" w:hint="eastAsia"/>
                <w:sz w:val="22"/>
              </w:rPr>
            </w:pPr>
            <w:r>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2</w:t>
            </w:r>
          </w:p>
        </w:tc>
        <w:tc>
          <w:tcPr>
            <w:tcW w:w="2114" w:type="dxa"/>
            <w:vAlign w:val="center"/>
          </w:tcPr>
          <w:p w:rsidR="00FE4E5B" w:rsidRPr="00B527BF" w:rsidRDefault="00FE4E5B" w:rsidP="0056567C">
            <w:pPr>
              <w:spacing w:line="440" w:lineRule="exact"/>
              <w:jc w:val="center"/>
              <w:rPr>
                <w:rFonts w:ascii="宋体" w:hAnsi="宋体" w:hint="eastAsia"/>
                <w:sz w:val="22"/>
              </w:rPr>
            </w:pPr>
            <w:r>
              <w:rPr>
                <w:rFonts w:ascii="宋体" w:hAnsi="宋体" w:hint="eastAsia"/>
                <w:sz w:val="22"/>
              </w:rPr>
              <w:t>教改项目（</w:t>
            </w:r>
            <w:r>
              <w:rPr>
                <w:rFonts w:ascii="宋体" w:hAnsi="宋体"/>
                <w:sz w:val="22"/>
              </w:rPr>
              <w:t>重点</w:t>
            </w:r>
            <w:r>
              <w:rPr>
                <w:rFonts w:ascii="宋体" w:hAnsi="宋体" w:hint="eastAsia"/>
                <w:sz w:val="22"/>
              </w:rPr>
              <w:t>）</w:t>
            </w:r>
          </w:p>
        </w:tc>
        <w:tc>
          <w:tcPr>
            <w:tcW w:w="4424" w:type="dxa"/>
            <w:vAlign w:val="center"/>
          </w:tcPr>
          <w:p w:rsidR="00FE4E5B" w:rsidRPr="00B527BF" w:rsidRDefault="00FE4E5B" w:rsidP="0056567C">
            <w:pPr>
              <w:widowControl/>
              <w:jc w:val="center"/>
              <w:rPr>
                <w:rFonts w:ascii="宋体" w:hAnsi="宋体"/>
                <w:kern w:val="0"/>
                <w:sz w:val="24"/>
                <w:szCs w:val="24"/>
              </w:rPr>
            </w:pPr>
            <w:proofErr w:type="gramStart"/>
            <w:r w:rsidRPr="00B527BF">
              <w:rPr>
                <w:rFonts w:ascii="宋体" w:hAnsi="宋体" w:hint="eastAsia"/>
              </w:rPr>
              <w:t>语块理论</w:t>
            </w:r>
            <w:proofErr w:type="gramEnd"/>
            <w:r w:rsidRPr="00B527BF">
              <w:rPr>
                <w:rFonts w:ascii="宋体" w:hAnsi="宋体" w:hint="eastAsia"/>
              </w:rPr>
              <w:t>视阈下英语专业“以读促写、读写结合”教学模式实证研究</w:t>
            </w:r>
          </w:p>
        </w:tc>
        <w:tc>
          <w:tcPr>
            <w:tcW w:w="992" w:type="dxa"/>
            <w:vAlign w:val="center"/>
          </w:tcPr>
          <w:p w:rsidR="00FE4E5B" w:rsidRPr="00B527BF" w:rsidRDefault="00FE4E5B" w:rsidP="0056567C">
            <w:pPr>
              <w:jc w:val="center"/>
              <w:rPr>
                <w:rFonts w:ascii="宋体" w:hAnsi="宋体" w:hint="eastAsia"/>
              </w:rPr>
            </w:pPr>
            <w:r w:rsidRPr="00B527BF">
              <w:rPr>
                <w:rFonts w:ascii="宋体" w:hAnsi="宋体" w:hint="eastAsia"/>
              </w:rPr>
              <w:t>陈玉莲</w:t>
            </w:r>
          </w:p>
        </w:tc>
        <w:tc>
          <w:tcPr>
            <w:tcW w:w="1639" w:type="dxa"/>
            <w:vMerge/>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3</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vAlign w:val="center"/>
          </w:tcPr>
          <w:p w:rsidR="00FE4E5B" w:rsidRPr="00B527BF" w:rsidRDefault="00FE4E5B" w:rsidP="0056567C">
            <w:pPr>
              <w:jc w:val="center"/>
              <w:rPr>
                <w:rFonts w:ascii="宋体" w:hAnsi="宋体" w:hint="eastAsia"/>
              </w:rPr>
            </w:pPr>
            <w:r w:rsidRPr="00B527BF">
              <w:rPr>
                <w:rFonts w:ascii="宋体" w:hAnsi="宋体" w:hint="eastAsia"/>
              </w:rPr>
              <w:t>应用型本科院校国际化英语翻译人才培养模式改革创新研究</w:t>
            </w:r>
          </w:p>
        </w:tc>
        <w:tc>
          <w:tcPr>
            <w:tcW w:w="992" w:type="dxa"/>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青立花</w:t>
            </w:r>
            <w:proofErr w:type="gramEnd"/>
          </w:p>
        </w:tc>
        <w:tc>
          <w:tcPr>
            <w:tcW w:w="1639" w:type="dxa"/>
            <w:vMerge/>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4</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英语阅读焦虑、阅读教学模式及阅读成绩相关关系之实证研究——以广外南国商学院商务英语专业学生为研究对象</w:t>
            </w:r>
          </w:p>
        </w:tc>
        <w:tc>
          <w:tcPr>
            <w:tcW w:w="992" w:type="dxa"/>
            <w:tcBorders>
              <w:top w:val="nil"/>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万宇婷</w:t>
            </w:r>
          </w:p>
        </w:tc>
        <w:tc>
          <w:tcPr>
            <w:tcW w:w="1639" w:type="dxa"/>
            <w:vMerge/>
            <w:shd w:val="clear" w:color="auto" w:fill="auto"/>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5</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大数据时代背景下语料库在翻译教学中的效应研究</w:t>
            </w:r>
          </w:p>
        </w:tc>
        <w:tc>
          <w:tcPr>
            <w:tcW w:w="992" w:type="dxa"/>
            <w:tcBorders>
              <w:top w:val="nil"/>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傅琳凌</w:t>
            </w:r>
            <w:proofErr w:type="gramEnd"/>
          </w:p>
        </w:tc>
        <w:tc>
          <w:tcPr>
            <w:tcW w:w="1639" w:type="dxa"/>
            <w:vMerge/>
            <w:shd w:val="clear" w:color="auto" w:fill="auto"/>
            <w:vAlign w:val="center"/>
          </w:tcPr>
          <w:p w:rsidR="00FE4E5B" w:rsidRPr="00B527BF" w:rsidRDefault="00FE4E5B" w:rsidP="0056567C">
            <w:pPr>
              <w:jc w:val="center"/>
              <w:rPr>
                <w:rFonts w:ascii="宋体" w:hAnsi="宋体" w:hint="eastAsia"/>
              </w:rPr>
            </w:pPr>
          </w:p>
        </w:tc>
        <w:tc>
          <w:tcPr>
            <w:tcW w:w="1191" w:type="dxa"/>
            <w:vAlign w:val="center"/>
          </w:tcPr>
          <w:p w:rsidR="00FE4E5B" w:rsidRPr="00B527BF" w:rsidRDefault="00FE4E5B" w:rsidP="0056567C">
            <w:pPr>
              <w:jc w:val="center"/>
              <w:rPr>
                <w:rFonts w:ascii="宋体" w:hAnsi="宋体" w:hint="eastAsia"/>
              </w:rPr>
            </w:pPr>
            <w:r>
              <w:rPr>
                <w:rFonts w:ascii="宋体" w:hAnsi="宋体" w:hint="eastAsia"/>
              </w:rPr>
              <w:t>撤销</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6</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英语写作“以读促写”与“以改促写”对比实证研究</w:t>
            </w:r>
          </w:p>
        </w:tc>
        <w:tc>
          <w:tcPr>
            <w:tcW w:w="992" w:type="dxa"/>
            <w:tcBorders>
              <w:top w:val="nil"/>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兰玉</w:t>
            </w:r>
          </w:p>
        </w:tc>
        <w:tc>
          <w:tcPr>
            <w:tcW w:w="1639" w:type="dxa"/>
            <w:vMerge/>
            <w:shd w:val="clear" w:color="auto" w:fill="auto"/>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7</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英语专业</w:t>
            </w:r>
            <w:proofErr w:type="gramStart"/>
            <w:r w:rsidRPr="00B527BF">
              <w:rPr>
                <w:rFonts w:ascii="宋体" w:hAnsi="宋体" w:hint="eastAsia"/>
              </w:rPr>
              <w:t>基础课微课活动</w:t>
            </w:r>
            <w:proofErr w:type="gramEnd"/>
            <w:r w:rsidRPr="00B527BF">
              <w:rPr>
                <w:rFonts w:ascii="宋体" w:hAnsi="宋体" w:hint="eastAsia"/>
              </w:rPr>
              <w:t>设计与应用研究——以“表演参与”式微课为例</w:t>
            </w:r>
          </w:p>
        </w:tc>
        <w:tc>
          <w:tcPr>
            <w:tcW w:w="992" w:type="dxa"/>
            <w:tcBorders>
              <w:top w:val="nil"/>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张群芳</w:t>
            </w:r>
          </w:p>
        </w:tc>
        <w:tc>
          <w:tcPr>
            <w:tcW w:w="1639" w:type="dxa"/>
            <w:vMerge/>
            <w:tcBorders>
              <w:bottom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bottom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8</w:t>
            </w:r>
          </w:p>
        </w:tc>
        <w:tc>
          <w:tcPr>
            <w:tcW w:w="2114" w:type="dxa"/>
            <w:vAlign w:val="center"/>
          </w:tcPr>
          <w:p w:rsidR="00FE4E5B" w:rsidRPr="00B527BF" w:rsidRDefault="00FE4E5B" w:rsidP="0056567C">
            <w:pPr>
              <w:spacing w:line="440" w:lineRule="exact"/>
              <w:jc w:val="center"/>
              <w:rPr>
                <w:rFonts w:ascii="宋体" w:hAnsi="宋体" w:hint="eastAsia"/>
                <w:sz w:val="22"/>
              </w:rPr>
            </w:pPr>
            <w:r w:rsidRPr="00B527BF">
              <w:rPr>
                <w:rFonts w:ascii="宋体" w:hAnsi="宋体" w:hint="eastAsia"/>
                <w:sz w:val="22"/>
              </w:rPr>
              <w:t>专业综合改革试点</w:t>
            </w:r>
          </w:p>
        </w:tc>
        <w:tc>
          <w:tcPr>
            <w:tcW w:w="4424" w:type="dxa"/>
            <w:vAlign w:val="center"/>
          </w:tcPr>
          <w:p w:rsidR="00FE4E5B" w:rsidRPr="00B527BF" w:rsidRDefault="00FE4E5B" w:rsidP="0056567C">
            <w:pPr>
              <w:widowControl/>
              <w:jc w:val="center"/>
              <w:rPr>
                <w:rFonts w:ascii="宋体" w:hAnsi="宋体"/>
                <w:color w:val="000000"/>
                <w:kern w:val="0"/>
                <w:sz w:val="22"/>
              </w:rPr>
            </w:pPr>
            <w:r w:rsidRPr="00B527BF">
              <w:rPr>
                <w:rFonts w:ascii="宋体" w:hAnsi="宋体" w:hint="eastAsia"/>
                <w:color w:val="000000"/>
                <w:sz w:val="22"/>
              </w:rPr>
              <w:t>阿拉伯语</w:t>
            </w:r>
          </w:p>
        </w:tc>
        <w:tc>
          <w:tcPr>
            <w:tcW w:w="992" w:type="dxa"/>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杨建荣</w:t>
            </w:r>
          </w:p>
        </w:tc>
        <w:tc>
          <w:tcPr>
            <w:tcW w:w="1639" w:type="dxa"/>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东方语言文化学院</w:t>
            </w: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color w:val="000000"/>
                <w:sz w:val="22"/>
              </w:rPr>
            </w:pPr>
            <w:r w:rsidRPr="0082354C">
              <w:rPr>
                <w:rFonts w:ascii="宋体" w:hAnsi="宋体" w:hint="eastAsia"/>
                <w:color w:val="000000"/>
                <w:sz w:val="22"/>
              </w:rPr>
              <w:t>9</w:t>
            </w:r>
          </w:p>
        </w:tc>
        <w:tc>
          <w:tcPr>
            <w:tcW w:w="2114" w:type="dxa"/>
            <w:vAlign w:val="center"/>
          </w:tcPr>
          <w:p w:rsidR="00FE4E5B" w:rsidRPr="00B527BF" w:rsidRDefault="00FE4E5B" w:rsidP="0056567C">
            <w:pPr>
              <w:spacing w:line="440" w:lineRule="exact"/>
              <w:jc w:val="center"/>
              <w:rPr>
                <w:rFonts w:ascii="宋体" w:hAnsi="宋体" w:hint="eastAsia"/>
                <w:sz w:val="22"/>
              </w:rPr>
            </w:pPr>
            <w:r w:rsidRPr="00B527BF">
              <w:rPr>
                <w:rFonts w:ascii="宋体" w:hAnsi="宋体" w:hint="eastAsia"/>
                <w:sz w:val="22"/>
              </w:rPr>
              <w:t>专业综合改革试点</w:t>
            </w:r>
          </w:p>
        </w:tc>
        <w:tc>
          <w:tcPr>
            <w:tcW w:w="4424" w:type="dxa"/>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德语</w:t>
            </w:r>
          </w:p>
        </w:tc>
        <w:tc>
          <w:tcPr>
            <w:tcW w:w="992" w:type="dxa"/>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唐彤</w:t>
            </w:r>
          </w:p>
        </w:tc>
        <w:tc>
          <w:tcPr>
            <w:tcW w:w="1639" w:type="dxa"/>
            <w:vMerge w:val="restart"/>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西方语言文化学院</w:t>
            </w: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10</w:t>
            </w:r>
          </w:p>
        </w:tc>
        <w:tc>
          <w:tcPr>
            <w:tcW w:w="2114" w:type="dxa"/>
            <w:vAlign w:val="center"/>
          </w:tcPr>
          <w:p w:rsidR="00FE4E5B" w:rsidRPr="00B527BF" w:rsidRDefault="00FE4E5B" w:rsidP="0056567C">
            <w:pPr>
              <w:jc w:val="center"/>
              <w:rPr>
                <w:rFonts w:ascii="宋体" w:hAnsi="宋体" w:hint="eastAsia"/>
                <w:sz w:val="22"/>
              </w:rPr>
            </w:pPr>
            <w:r w:rsidRPr="00B527BF">
              <w:rPr>
                <w:rFonts w:ascii="宋体" w:hAnsi="宋体" w:hint="eastAsia"/>
                <w:color w:val="000000"/>
                <w:sz w:val="22"/>
              </w:rPr>
              <w:t>大学生校外实践教学基地</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广东外语外贸大学南国商学院</w:t>
            </w:r>
            <w:r w:rsidRPr="00B527BF">
              <w:rPr>
                <w:rFonts w:ascii="宋体" w:hAnsi="宋体" w:hint="eastAsia"/>
                <w:color w:val="000000"/>
                <w:sz w:val="22"/>
              </w:rPr>
              <w:br/>
              <w:t>——广州速优体育用品有限公司大学生校外实践教学基地</w:t>
            </w:r>
          </w:p>
        </w:tc>
        <w:tc>
          <w:tcPr>
            <w:tcW w:w="992" w:type="dxa"/>
            <w:tcBorders>
              <w:top w:val="nil"/>
              <w:left w:val="nil"/>
              <w:bottom w:val="single" w:sz="4" w:space="0" w:color="auto"/>
            </w:tcBorders>
            <w:shd w:val="clear" w:color="auto" w:fill="auto"/>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王黎明</w:t>
            </w:r>
          </w:p>
        </w:tc>
        <w:tc>
          <w:tcPr>
            <w:tcW w:w="1639" w:type="dxa"/>
            <w:vMerge/>
            <w:shd w:val="clear" w:color="auto" w:fill="auto"/>
            <w:vAlign w:val="center"/>
          </w:tcPr>
          <w:p w:rsidR="00FE4E5B" w:rsidRPr="00B527BF" w:rsidRDefault="00FE4E5B" w:rsidP="0056567C">
            <w:pPr>
              <w:jc w:val="center"/>
              <w:rPr>
                <w:rFonts w:ascii="宋体" w:hAnsi="宋体" w:hint="eastAsia"/>
                <w:color w:val="000000"/>
                <w:sz w:val="22"/>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11</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基于移动平台学习的西班牙语听力教学模式改革与实践——以广外南国商学院为例</w:t>
            </w:r>
          </w:p>
        </w:tc>
        <w:tc>
          <w:tcPr>
            <w:tcW w:w="992" w:type="dxa"/>
            <w:tcBorders>
              <w:top w:val="single" w:sz="4" w:space="0" w:color="auto"/>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杨帆</w:t>
            </w:r>
          </w:p>
        </w:tc>
        <w:tc>
          <w:tcPr>
            <w:tcW w:w="1639" w:type="dxa"/>
            <w:vMerge/>
            <w:shd w:val="clear" w:color="auto" w:fill="auto"/>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12</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探索翻译理论对语言学翻译类课程的促进作用</w:t>
            </w:r>
          </w:p>
        </w:tc>
        <w:tc>
          <w:tcPr>
            <w:tcW w:w="992" w:type="dxa"/>
            <w:tcBorders>
              <w:top w:val="single" w:sz="4" w:space="0" w:color="auto"/>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许婷芳</w:t>
            </w:r>
          </w:p>
        </w:tc>
        <w:tc>
          <w:tcPr>
            <w:tcW w:w="1639" w:type="dxa"/>
            <w:vMerge/>
            <w:shd w:val="clear" w:color="auto" w:fill="auto"/>
            <w:vAlign w:val="center"/>
          </w:tcPr>
          <w:p w:rsidR="00FE4E5B" w:rsidRPr="00B527BF" w:rsidRDefault="00FE4E5B" w:rsidP="0056567C">
            <w:pPr>
              <w:jc w:val="center"/>
              <w:rPr>
                <w:rFonts w:ascii="宋体" w:hAnsi="宋体" w:hint="eastAsia"/>
              </w:rPr>
            </w:pPr>
          </w:p>
        </w:tc>
        <w:tc>
          <w:tcPr>
            <w:tcW w:w="1191" w:type="dxa"/>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13</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西班牙语第二课堂多元化体系的构建与研究</w:t>
            </w:r>
          </w:p>
        </w:tc>
        <w:tc>
          <w:tcPr>
            <w:tcW w:w="992" w:type="dxa"/>
            <w:tcBorders>
              <w:top w:val="single" w:sz="4" w:space="0" w:color="auto"/>
              <w:left w:val="nil"/>
              <w:bottom w:val="single" w:sz="4" w:space="0" w:color="auto"/>
            </w:tcBorders>
            <w:shd w:val="clear" w:color="auto" w:fill="auto"/>
            <w:vAlign w:val="center"/>
          </w:tcPr>
          <w:p w:rsidR="00FE4E5B" w:rsidRPr="00B527BF" w:rsidRDefault="00FE4E5B" w:rsidP="0056567C">
            <w:pPr>
              <w:jc w:val="center"/>
              <w:rPr>
                <w:rFonts w:ascii="宋体" w:hAnsi="宋体" w:hint="eastAsia"/>
              </w:rPr>
            </w:pPr>
            <w:r>
              <w:rPr>
                <w:rFonts w:ascii="宋体" w:hAnsi="宋体" w:hint="eastAsia"/>
              </w:rPr>
              <w:t>周雅琨</w:t>
            </w:r>
          </w:p>
        </w:tc>
        <w:tc>
          <w:tcPr>
            <w:tcW w:w="1639" w:type="dxa"/>
            <w:vMerge/>
            <w:tcBorders>
              <w:bottom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bottom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14</w:t>
            </w:r>
          </w:p>
        </w:tc>
        <w:tc>
          <w:tcPr>
            <w:tcW w:w="2114" w:type="dxa"/>
            <w:vAlign w:val="center"/>
          </w:tcPr>
          <w:p w:rsidR="00FE4E5B" w:rsidRPr="00B527BF" w:rsidRDefault="00FE4E5B" w:rsidP="0056567C">
            <w:pPr>
              <w:spacing w:line="440" w:lineRule="exact"/>
              <w:jc w:val="center"/>
              <w:rPr>
                <w:rFonts w:ascii="宋体" w:hAnsi="宋体" w:hint="eastAsia"/>
                <w:sz w:val="22"/>
              </w:rPr>
            </w:pPr>
            <w:r w:rsidRPr="00B527BF">
              <w:rPr>
                <w:rFonts w:ascii="宋体" w:hAnsi="宋体" w:hint="eastAsia"/>
                <w:sz w:val="22"/>
              </w:rPr>
              <w:t>教学团队</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金融课程实验教学团队</w:t>
            </w:r>
          </w:p>
        </w:tc>
        <w:tc>
          <w:tcPr>
            <w:tcW w:w="992" w:type="dxa"/>
            <w:tcBorders>
              <w:top w:val="single" w:sz="4" w:space="0" w:color="auto"/>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姚军</w:t>
            </w:r>
          </w:p>
        </w:tc>
        <w:tc>
          <w:tcPr>
            <w:tcW w:w="1639" w:type="dxa"/>
            <w:vMerge w:val="restart"/>
            <w:tcBorders>
              <w:top w:val="single" w:sz="4" w:space="0" w:color="auto"/>
              <w:left w:val="nil"/>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国际经济与金融学院</w:t>
            </w:r>
          </w:p>
        </w:tc>
        <w:tc>
          <w:tcPr>
            <w:tcW w:w="1191" w:type="dxa"/>
            <w:tcBorders>
              <w:top w:val="single" w:sz="4" w:space="0" w:color="auto"/>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15</w:t>
            </w:r>
          </w:p>
        </w:tc>
        <w:tc>
          <w:tcPr>
            <w:tcW w:w="2114" w:type="dxa"/>
            <w:vAlign w:val="center"/>
          </w:tcPr>
          <w:p w:rsidR="00FE4E5B" w:rsidRPr="00B527BF" w:rsidRDefault="00FE4E5B" w:rsidP="0056567C">
            <w:pPr>
              <w:spacing w:line="440" w:lineRule="exact"/>
              <w:jc w:val="center"/>
              <w:rPr>
                <w:rFonts w:ascii="宋体" w:hAnsi="宋体" w:hint="eastAsia"/>
                <w:sz w:val="22"/>
              </w:rPr>
            </w:pPr>
            <w:r w:rsidRPr="00B527BF">
              <w:rPr>
                <w:rFonts w:ascii="宋体" w:hAnsi="宋体" w:hint="eastAsia"/>
                <w:sz w:val="22"/>
              </w:rPr>
              <w:t>精品资源共享课</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widowControl/>
              <w:jc w:val="center"/>
              <w:rPr>
                <w:rFonts w:ascii="宋体" w:hAnsi="宋体"/>
                <w:kern w:val="0"/>
                <w:sz w:val="22"/>
              </w:rPr>
            </w:pPr>
            <w:r w:rsidRPr="00B527BF">
              <w:rPr>
                <w:rFonts w:ascii="宋体" w:hAnsi="宋体" w:hint="eastAsia"/>
                <w:sz w:val="22"/>
              </w:rPr>
              <w:t>货币银行学（双语）</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戴江</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16</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跨境电</w:t>
            </w:r>
            <w:proofErr w:type="gramStart"/>
            <w:r w:rsidRPr="00B527BF">
              <w:rPr>
                <w:rFonts w:ascii="宋体" w:hAnsi="宋体" w:hint="eastAsia"/>
              </w:rPr>
              <w:t>商背景</w:t>
            </w:r>
            <w:proofErr w:type="gramEnd"/>
            <w:r w:rsidRPr="00B527BF">
              <w:rPr>
                <w:rFonts w:ascii="宋体" w:hAnsi="宋体" w:hint="eastAsia"/>
              </w:rPr>
              <w:t>下独立学院国际贸易专业应用型创新人才培养模式改革研究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余萍</w:t>
            </w:r>
            <w:proofErr w:type="gramEnd"/>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17</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保险学实践教学课程设计</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党雪</w:t>
            </w:r>
            <w:proofErr w:type="gramEnd"/>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18</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《商业银行营销学》的开放式教学模式对提升金融专业学生职业能力的研究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徐</w:t>
            </w:r>
            <w:proofErr w:type="gramStart"/>
            <w:r w:rsidRPr="00B527BF">
              <w:rPr>
                <w:rFonts w:ascii="宋体" w:hAnsi="宋体" w:hint="eastAsia"/>
              </w:rPr>
              <w:t>浩</w:t>
            </w:r>
            <w:proofErr w:type="gramEnd"/>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19</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独立学院跨境电商人才培养模式创新研究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郭烨</w:t>
            </w:r>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624"/>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lastRenderedPageBreak/>
              <w:t>20</w:t>
            </w:r>
          </w:p>
        </w:tc>
        <w:tc>
          <w:tcPr>
            <w:tcW w:w="2114" w:type="dxa"/>
            <w:vAlign w:val="center"/>
          </w:tcPr>
          <w:p w:rsidR="00FE4E5B" w:rsidRPr="00CE033B" w:rsidRDefault="00FE4E5B" w:rsidP="0056567C">
            <w:pPr>
              <w:jc w:val="center"/>
              <w:rPr>
                <w:rFonts w:ascii="宋体" w:hAnsi="宋体" w:hint="eastAsia"/>
                <w:color w:val="000000"/>
                <w:sz w:val="22"/>
              </w:rPr>
            </w:pPr>
            <w:r w:rsidRPr="00B527BF">
              <w:rPr>
                <w:rFonts w:ascii="宋体" w:hAnsi="宋体" w:hint="eastAsia"/>
                <w:color w:val="000000"/>
                <w:sz w:val="22"/>
              </w:rPr>
              <w:t>大学生校外实践教学基地</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widowControl/>
              <w:jc w:val="center"/>
              <w:rPr>
                <w:rFonts w:ascii="宋体" w:hAnsi="宋体"/>
                <w:color w:val="000000"/>
                <w:kern w:val="0"/>
                <w:sz w:val="22"/>
              </w:rPr>
            </w:pPr>
            <w:r w:rsidRPr="00B527BF">
              <w:rPr>
                <w:rFonts w:ascii="宋体" w:hAnsi="宋体" w:hint="eastAsia"/>
                <w:color w:val="000000"/>
                <w:sz w:val="22"/>
              </w:rPr>
              <w:t>广东外语外贸大学南国商学院－毕马</w:t>
            </w:r>
            <w:proofErr w:type="gramStart"/>
            <w:r w:rsidRPr="00B527BF">
              <w:rPr>
                <w:rFonts w:ascii="宋体" w:hAnsi="宋体" w:hint="eastAsia"/>
                <w:color w:val="000000"/>
                <w:sz w:val="22"/>
              </w:rPr>
              <w:t>威全球</w:t>
            </w:r>
            <w:proofErr w:type="gramEnd"/>
            <w:r w:rsidRPr="00B527BF">
              <w:rPr>
                <w:rFonts w:ascii="宋体" w:hAnsi="宋体" w:hint="eastAsia"/>
                <w:color w:val="000000"/>
                <w:sz w:val="22"/>
              </w:rPr>
              <w:t>商务服务（广东）有限公司大学生校外实践教学基地</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color w:val="000000"/>
                <w:sz w:val="22"/>
              </w:rPr>
            </w:pPr>
            <w:proofErr w:type="gramStart"/>
            <w:r>
              <w:rPr>
                <w:rFonts w:ascii="宋体" w:hAnsi="宋体" w:hint="eastAsia"/>
                <w:color w:val="000000"/>
                <w:sz w:val="22"/>
              </w:rPr>
              <w:t>文佑云</w:t>
            </w:r>
            <w:proofErr w:type="gramEnd"/>
            <w:r>
              <w:rPr>
                <w:rFonts w:ascii="宋体" w:hAnsi="宋体" w:hint="eastAsia"/>
                <w:color w:val="000000"/>
                <w:sz w:val="22"/>
              </w:rPr>
              <w:t>、</w:t>
            </w:r>
            <w:r>
              <w:rPr>
                <w:rFonts w:ascii="宋体" w:hAnsi="宋体"/>
                <w:color w:val="000000"/>
                <w:sz w:val="22"/>
              </w:rPr>
              <w:t>卢少勇</w:t>
            </w:r>
          </w:p>
        </w:tc>
        <w:tc>
          <w:tcPr>
            <w:tcW w:w="1639" w:type="dxa"/>
            <w:vMerge w:val="restart"/>
            <w:tcBorders>
              <w:top w:val="nil"/>
              <w:left w:val="nil"/>
              <w:right w:val="single" w:sz="4" w:space="0" w:color="auto"/>
            </w:tcBorders>
            <w:shd w:val="clear" w:color="auto" w:fill="auto"/>
            <w:vAlign w:val="center"/>
          </w:tcPr>
          <w:p w:rsidR="00FE4E5B" w:rsidRPr="00B527BF" w:rsidRDefault="00FE4E5B" w:rsidP="0056567C">
            <w:pPr>
              <w:jc w:val="center"/>
              <w:rPr>
                <w:rFonts w:ascii="宋体" w:hAnsi="宋体" w:hint="eastAsia"/>
                <w:color w:val="000000"/>
                <w:sz w:val="22"/>
              </w:rPr>
            </w:pPr>
            <w:r w:rsidRPr="00B527BF">
              <w:rPr>
                <w:rFonts w:ascii="宋体" w:hAnsi="宋体" w:hint="eastAsia"/>
                <w:color w:val="000000"/>
                <w:sz w:val="22"/>
              </w:rPr>
              <w:t>国际工商管理学院</w:t>
            </w:r>
          </w:p>
        </w:tc>
        <w:tc>
          <w:tcPr>
            <w:tcW w:w="1191" w:type="dxa"/>
            <w:tcBorders>
              <w:top w:val="nil"/>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21</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基于模糊综合评价法的民办高等教育教学质量绩效评价指标体系及评价模型的研究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金丽</w:t>
            </w:r>
            <w:proofErr w:type="gramStart"/>
            <w:r w:rsidRPr="00B527BF">
              <w:rPr>
                <w:rFonts w:ascii="宋体" w:hAnsi="宋体" w:hint="eastAsia"/>
              </w:rPr>
              <w:t>丽</w:t>
            </w:r>
            <w:proofErr w:type="gramEnd"/>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22</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TED演讲视频在独立学院会计英语课程中的应用研究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潘丹青</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23</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针对新教学法的教学质量评估研究—以“情景教学法”为例</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李成</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24</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独立学院旅游管理专业人才培养的协同创新机制研究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谢婕</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w:t>
            </w:r>
            <w:r w:rsidRPr="0082354C">
              <w:rPr>
                <w:rFonts w:ascii="宋体" w:hAnsi="宋体"/>
                <w:sz w:val="22"/>
              </w:rPr>
              <w:t>5</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以“应用为本”的课程学习评价体系改革探索</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周凌</w:t>
            </w:r>
            <w:proofErr w:type="gramEnd"/>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Pr="00B527BF" w:rsidRDefault="00FE4E5B" w:rsidP="0056567C">
            <w:pPr>
              <w:jc w:val="center"/>
              <w:rPr>
                <w:rFonts w:ascii="宋体" w:hAnsi="宋体" w:hint="eastAsia"/>
              </w:rPr>
            </w:pPr>
            <w:r>
              <w:rPr>
                <w:rFonts w:ascii="宋体" w:hAnsi="宋体" w:hint="eastAsia"/>
              </w:rPr>
              <w:t>申请验收</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26</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以项目为导向的大学写作教改与实践研究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徐琼</w:t>
            </w:r>
            <w:proofErr w:type="gramEnd"/>
          </w:p>
        </w:tc>
        <w:tc>
          <w:tcPr>
            <w:tcW w:w="1639" w:type="dxa"/>
            <w:vMerge w:val="restart"/>
            <w:tcBorders>
              <w:top w:val="nil"/>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中国语言</w:t>
            </w:r>
            <w:r>
              <w:rPr>
                <w:rFonts w:ascii="宋体" w:hAnsi="宋体" w:hint="eastAsia"/>
              </w:rPr>
              <w:t>文化</w:t>
            </w:r>
            <w:r w:rsidRPr="00B527BF">
              <w:rPr>
                <w:rFonts w:ascii="宋体" w:hAnsi="宋体" w:hint="eastAsia"/>
              </w:rPr>
              <w:t>学院</w:t>
            </w:r>
          </w:p>
        </w:tc>
        <w:tc>
          <w:tcPr>
            <w:tcW w:w="1191" w:type="dxa"/>
            <w:tcBorders>
              <w:top w:val="nil"/>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27</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多层次实践教学在新闻采访学中的应用探索</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周文</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28</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汉语词汇教学的新模式探讨——“年度热词”走进课堂</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冯薇</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29</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构建适应市场人才需要的“三维一体式”写作教学模式研究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徐琼</w:t>
            </w:r>
            <w:proofErr w:type="gramEnd"/>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30</w:t>
            </w:r>
          </w:p>
        </w:tc>
        <w:tc>
          <w:tcPr>
            <w:tcW w:w="2114" w:type="dxa"/>
            <w:vAlign w:val="center"/>
          </w:tcPr>
          <w:p w:rsidR="00FE4E5B" w:rsidRPr="00CE033B" w:rsidRDefault="00FE4E5B" w:rsidP="0056567C">
            <w:pPr>
              <w:jc w:val="center"/>
              <w:rPr>
                <w:rFonts w:ascii="宋体" w:hAnsi="宋体" w:hint="eastAsia"/>
                <w:color w:val="000000"/>
                <w:sz w:val="22"/>
              </w:rPr>
            </w:pPr>
            <w:r w:rsidRPr="00CE033B">
              <w:rPr>
                <w:rFonts w:ascii="宋体" w:hAnsi="宋体" w:hint="eastAsia"/>
                <w:color w:val="000000"/>
                <w:sz w:val="22"/>
              </w:rPr>
              <w:t>应用型人才培养示范专业</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widowControl/>
              <w:jc w:val="center"/>
              <w:rPr>
                <w:rFonts w:ascii="宋体" w:hAnsi="宋体"/>
                <w:color w:val="000000"/>
                <w:kern w:val="0"/>
                <w:sz w:val="22"/>
              </w:rPr>
            </w:pPr>
            <w:r w:rsidRPr="00B527BF">
              <w:rPr>
                <w:rFonts w:ascii="宋体" w:hAnsi="宋体" w:hint="eastAsia"/>
                <w:color w:val="000000"/>
                <w:sz w:val="22"/>
              </w:rPr>
              <w:t>计算机科学与技术</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朱子江</w:t>
            </w:r>
          </w:p>
        </w:tc>
        <w:tc>
          <w:tcPr>
            <w:tcW w:w="1639" w:type="dxa"/>
            <w:vMerge w:val="restart"/>
            <w:tcBorders>
              <w:top w:val="nil"/>
              <w:left w:val="nil"/>
              <w:right w:val="single" w:sz="4" w:space="0" w:color="auto"/>
            </w:tcBorders>
            <w:shd w:val="clear" w:color="auto" w:fill="auto"/>
            <w:vAlign w:val="center"/>
          </w:tcPr>
          <w:p w:rsidR="00FE4E5B" w:rsidRPr="00B527BF" w:rsidRDefault="00FE4E5B" w:rsidP="0056567C">
            <w:pPr>
              <w:jc w:val="center"/>
              <w:rPr>
                <w:rFonts w:ascii="宋体" w:hAnsi="宋体" w:hint="eastAsia"/>
                <w:sz w:val="22"/>
              </w:rPr>
            </w:pPr>
            <w:r w:rsidRPr="00B527BF">
              <w:rPr>
                <w:rFonts w:ascii="宋体" w:hAnsi="宋体" w:hint="eastAsia"/>
                <w:sz w:val="22"/>
              </w:rPr>
              <w:t>信息科学技术学院</w:t>
            </w:r>
          </w:p>
        </w:tc>
        <w:tc>
          <w:tcPr>
            <w:tcW w:w="1191" w:type="dxa"/>
            <w:tcBorders>
              <w:top w:val="nil"/>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31</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微型学习视频在翻转课堂教学中的应用研究--以计算机公共课程为例</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常静</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32</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微课在</w:t>
            </w:r>
            <w:proofErr w:type="gramEnd"/>
            <w:r w:rsidRPr="00B527BF">
              <w:rPr>
                <w:rFonts w:ascii="宋体" w:hAnsi="宋体" w:hint="eastAsia"/>
              </w:rPr>
              <w:t>计算机课程的应用探索</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廖晓芳</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33</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Flash动画在MOOC教学中的应用</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邓小光</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34</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模块与案例化教学方法在Photoshop课程中的应用研究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冯春苑</w:t>
            </w:r>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35</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大学英语基础阶段的中国文化渗透—探讨与实践</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roofErr w:type="gramStart"/>
            <w:r w:rsidRPr="00B527BF">
              <w:rPr>
                <w:rFonts w:ascii="宋体" w:hAnsi="宋体" w:hint="eastAsia"/>
              </w:rPr>
              <w:t>陈相云</w:t>
            </w:r>
            <w:proofErr w:type="gramEnd"/>
          </w:p>
        </w:tc>
        <w:tc>
          <w:tcPr>
            <w:tcW w:w="1639" w:type="dxa"/>
            <w:vMerge w:val="restart"/>
            <w:tcBorders>
              <w:top w:val="nil"/>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大学英语教学部</w:t>
            </w:r>
          </w:p>
        </w:tc>
        <w:tc>
          <w:tcPr>
            <w:tcW w:w="1191" w:type="dxa"/>
            <w:tcBorders>
              <w:top w:val="nil"/>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36</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输出驱动-输入促成假设在独立学院大学英语课堂的尝试</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Pr>
                <w:rFonts w:ascii="宋体" w:hAnsi="宋体" w:hint="eastAsia"/>
              </w:rPr>
              <w:t>刘杰</w:t>
            </w:r>
          </w:p>
        </w:tc>
        <w:tc>
          <w:tcPr>
            <w:tcW w:w="1639" w:type="dxa"/>
            <w:vMerge/>
            <w:tcBorders>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37</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大学英语拓展课程教务管理研究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杨柳</w:t>
            </w:r>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38</w:t>
            </w:r>
          </w:p>
        </w:tc>
        <w:tc>
          <w:tcPr>
            <w:tcW w:w="2114" w:type="dxa"/>
            <w:vAlign w:val="center"/>
          </w:tcPr>
          <w:p w:rsidR="00FE4E5B" w:rsidRDefault="00FE4E5B" w:rsidP="0056567C">
            <w:pPr>
              <w:jc w:val="center"/>
            </w:pPr>
            <w:r w:rsidRPr="001B1C5F">
              <w:rPr>
                <w:rFonts w:ascii="宋体" w:hAnsi="宋体" w:hint="eastAsia"/>
                <w:sz w:val="22"/>
              </w:rPr>
              <w:t>教改项目</w:t>
            </w:r>
            <w:r>
              <w:rPr>
                <w:rFonts w:ascii="宋体" w:hAnsi="宋体" w:hint="eastAsia"/>
                <w:sz w:val="22"/>
              </w:rPr>
              <w:t>（</w:t>
            </w:r>
            <w:r>
              <w:rPr>
                <w:rFonts w:ascii="宋体" w:hAnsi="宋体"/>
                <w:sz w:val="22"/>
              </w:rPr>
              <w:t>重点</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俱乐部型体育教育模式的构建与应用</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陈接华</w:t>
            </w:r>
          </w:p>
        </w:tc>
        <w:tc>
          <w:tcPr>
            <w:tcW w:w="1639" w:type="dxa"/>
            <w:vMerge w:val="restart"/>
            <w:tcBorders>
              <w:top w:val="nil"/>
              <w:left w:val="nil"/>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公共课教学部</w:t>
            </w:r>
          </w:p>
        </w:tc>
        <w:tc>
          <w:tcPr>
            <w:tcW w:w="1191" w:type="dxa"/>
            <w:tcBorders>
              <w:top w:val="nil"/>
              <w:left w:val="nil"/>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39</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提升独立学院经管专业微积分课程课堂教学实效性研究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刘元宗</w:t>
            </w:r>
          </w:p>
        </w:tc>
        <w:tc>
          <w:tcPr>
            <w:tcW w:w="1639" w:type="dxa"/>
            <w:vMerge/>
            <w:tcBorders>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p>
        </w:tc>
        <w:tc>
          <w:tcPr>
            <w:tcW w:w="1191" w:type="dxa"/>
            <w:tcBorders>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4</w:t>
            </w:r>
            <w:r w:rsidRPr="0082354C">
              <w:rPr>
                <w:rFonts w:ascii="宋体" w:hAnsi="宋体"/>
                <w:sz w:val="22"/>
              </w:rPr>
              <w:t>0</w:t>
            </w:r>
          </w:p>
        </w:tc>
        <w:tc>
          <w:tcPr>
            <w:tcW w:w="2114" w:type="dxa"/>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独立学院思想政治理论课教学的吸引力问题研究</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张小玲</w:t>
            </w:r>
          </w:p>
        </w:tc>
        <w:tc>
          <w:tcPr>
            <w:tcW w:w="1639"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思想政治理论课教学部</w:t>
            </w:r>
          </w:p>
        </w:tc>
        <w:tc>
          <w:tcPr>
            <w:tcW w:w="1191" w:type="dxa"/>
            <w:tcBorders>
              <w:top w:val="nil"/>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r w:rsidR="00FE4E5B" w:rsidRPr="00B527BF" w:rsidTr="0056567C">
        <w:tblPrEx>
          <w:tblCellMar>
            <w:top w:w="0" w:type="dxa"/>
            <w:bottom w:w="0" w:type="dxa"/>
          </w:tblCellMar>
        </w:tblPrEx>
        <w:trPr>
          <w:trHeight w:val="510"/>
          <w:jc w:val="center"/>
        </w:trPr>
        <w:tc>
          <w:tcPr>
            <w:tcW w:w="546" w:type="dxa"/>
            <w:tcBorders>
              <w:bottom w:val="single" w:sz="4" w:space="0" w:color="auto"/>
            </w:tcBorders>
            <w:vAlign w:val="center"/>
          </w:tcPr>
          <w:p w:rsidR="00FE4E5B" w:rsidRPr="0082354C" w:rsidRDefault="00FE4E5B" w:rsidP="0056567C">
            <w:pPr>
              <w:spacing w:line="440" w:lineRule="exact"/>
              <w:jc w:val="center"/>
              <w:rPr>
                <w:rFonts w:ascii="宋体" w:hAnsi="宋体" w:hint="eastAsia"/>
                <w:sz w:val="22"/>
              </w:rPr>
            </w:pPr>
            <w:r w:rsidRPr="0082354C">
              <w:rPr>
                <w:rFonts w:ascii="宋体" w:hAnsi="宋体" w:hint="eastAsia"/>
                <w:sz w:val="22"/>
              </w:rPr>
              <w:t>41</w:t>
            </w:r>
          </w:p>
        </w:tc>
        <w:tc>
          <w:tcPr>
            <w:tcW w:w="2114" w:type="dxa"/>
            <w:tcBorders>
              <w:bottom w:val="single" w:sz="4" w:space="0" w:color="auto"/>
            </w:tcBorders>
            <w:vAlign w:val="center"/>
          </w:tcPr>
          <w:p w:rsidR="00FE4E5B" w:rsidRDefault="00FE4E5B" w:rsidP="0056567C">
            <w:pPr>
              <w:jc w:val="center"/>
              <w:rPr>
                <w:rFonts w:hint="eastAsia"/>
              </w:rPr>
            </w:pPr>
            <w:r w:rsidRPr="001B1C5F">
              <w:rPr>
                <w:rFonts w:ascii="宋体" w:hAnsi="宋体" w:hint="eastAsia"/>
                <w:sz w:val="22"/>
              </w:rPr>
              <w:t>教改项目</w:t>
            </w:r>
            <w:r>
              <w:rPr>
                <w:rFonts w:ascii="宋体" w:hAnsi="宋体" w:hint="eastAsia"/>
                <w:sz w:val="22"/>
              </w:rPr>
              <w:t>（</w:t>
            </w:r>
            <w:r>
              <w:rPr>
                <w:rFonts w:ascii="宋体" w:hAnsi="宋体"/>
                <w:sz w:val="22"/>
              </w:rPr>
              <w:t>一般</w:t>
            </w:r>
            <w:r>
              <w:rPr>
                <w:rFonts w:ascii="宋体" w:hAnsi="宋体" w:hint="eastAsia"/>
                <w:sz w:val="22"/>
              </w:rPr>
              <w:t>）</w:t>
            </w:r>
          </w:p>
        </w:tc>
        <w:tc>
          <w:tcPr>
            <w:tcW w:w="4424" w:type="dxa"/>
            <w:tcBorders>
              <w:top w:val="nil"/>
              <w:left w:val="single" w:sz="4" w:space="0" w:color="auto"/>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基于教学质量保障视角的学生教学信息员制度探索</w:t>
            </w:r>
          </w:p>
        </w:tc>
        <w:tc>
          <w:tcPr>
            <w:tcW w:w="992"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赵敏</w:t>
            </w:r>
          </w:p>
        </w:tc>
        <w:tc>
          <w:tcPr>
            <w:tcW w:w="1639" w:type="dxa"/>
            <w:tcBorders>
              <w:top w:val="nil"/>
              <w:left w:val="nil"/>
              <w:bottom w:val="single" w:sz="4" w:space="0" w:color="auto"/>
              <w:right w:val="single" w:sz="4" w:space="0" w:color="auto"/>
            </w:tcBorders>
            <w:shd w:val="clear" w:color="auto" w:fill="auto"/>
            <w:vAlign w:val="center"/>
          </w:tcPr>
          <w:p w:rsidR="00FE4E5B" w:rsidRPr="00B527BF" w:rsidRDefault="00FE4E5B" w:rsidP="0056567C">
            <w:pPr>
              <w:jc w:val="center"/>
              <w:rPr>
                <w:rFonts w:ascii="宋体" w:hAnsi="宋体" w:hint="eastAsia"/>
              </w:rPr>
            </w:pPr>
            <w:r w:rsidRPr="00B527BF">
              <w:rPr>
                <w:rFonts w:ascii="宋体" w:hAnsi="宋体" w:hint="eastAsia"/>
              </w:rPr>
              <w:t>教务处</w:t>
            </w:r>
          </w:p>
        </w:tc>
        <w:tc>
          <w:tcPr>
            <w:tcW w:w="1191" w:type="dxa"/>
            <w:tcBorders>
              <w:top w:val="nil"/>
              <w:left w:val="nil"/>
              <w:bottom w:val="single" w:sz="4" w:space="0" w:color="auto"/>
              <w:right w:val="single" w:sz="4" w:space="0" w:color="auto"/>
            </w:tcBorders>
            <w:vAlign w:val="center"/>
          </w:tcPr>
          <w:p w:rsidR="00FE4E5B" w:rsidRDefault="00FE4E5B" w:rsidP="0056567C">
            <w:pPr>
              <w:jc w:val="center"/>
            </w:pPr>
            <w:r w:rsidRPr="006015C0">
              <w:rPr>
                <w:rFonts w:ascii="宋体" w:hAnsi="宋体" w:hint="eastAsia"/>
                <w:sz w:val="22"/>
              </w:rPr>
              <w:t>通过</w:t>
            </w:r>
          </w:p>
        </w:tc>
      </w:tr>
    </w:tbl>
    <w:p w:rsidR="00936B8A" w:rsidRDefault="00936B8A"/>
    <w:sectPr w:rsidR="00936B8A" w:rsidSect="0082354C">
      <w:pgSz w:w="11906" w:h="16838"/>
      <w:pgMar w:top="1134" w:right="1800" w:bottom="851"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4E5B"/>
    <w:rsid w:val="00936B8A"/>
    <w:rsid w:val="00FE4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Company>Sky123.Org</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2016-11-09T06:18:00Z</dcterms:created>
  <dcterms:modified xsi:type="dcterms:W3CDTF">2016-11-09T06:19:00Z</dcterms:modified>
</cp:coreProperties>
</file>